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  <w:r>
        <w:t xml:space="preserve"/>
      </w:r>
    </w:p>
    <w:p>
      <w:pPr>
        <w:spacing w:after="60" w:before="0"/>
        <w:jc w:val="center"/>
      </w:pPr>
      <w:r>
        <w:rPr>
          <w:rFonts w:ascii="Consolas" w:cs="Consolas" w:eastAsia="Consolas" w:hAnsi="Consolas"/>
          <w:b/>
          <w:bCs/>
          <w:color w:val="7A7468"/>
          <w:spacing w:val="80"/>
          <w:sz w:val="22"/>
          <w:szCs w:val="22"/>
        </w:rPr>
        <w:t xml:space="preserve">MANUAL DE USUARIO</w:t>
      </w:r>
    </w:p>
    <w:p>
      <w:pPr>
        <w:spacing w:after="240" w:before="80"/>
        <w:jc w:val="center"/>
      </w:pPr>
      <w:r>
        <w:rPr>
          <w:rFonts w:ascii="Consolas" w:cs="Consolas" w:eastAsia="Consolas" w:hAnsi="Consolas"/>
          <w:color w:val="B89A5E"/>
          <w:spacing w:val="100"/>
          <w:sz w:val="16"/>
          <w:szCs w:val="16"/>
        </w:rPr>
        <w:t xml:space="preserve">USER MANUAL · BILINGUAL</w:t>
      </w:r>
    </w:p>
    <w:p>
      <w:pPr>
        <w:spacing w:after="0" w:before="0" w:line="480"/>
        <w:jc w:val="center"/>
      </w:pPr>
      <w:r>
        <w:rPr>
          <w:rFonts w:ascii="Georgia" w:cs="Georgia" w:eastAsia="Georgia" w:hAnsi="Georgia"/>
          <w:color w:val="0A0A0A"/>
          <w:sz w:val="96"/>
          <w:szCs w:val="96"/>
        </w:rPr>
        <w:t xml:space="preserve">Sistema CRM</w:t>
      </w:r>
    </w:p>
    <w:p>
      <w:pPr>
        <w:spacing w:after="0" w:before="0" w:line="480"/>
        <w:jc w:val="center"/>
      </w:pPr>
      <w:r>
        <w:rPr>
          <w:rFonts w:ascii="Georgia" w:cs="Georgia" w:eastAsia="Georgia" w:hAnsi="Georgia"/>
          <w:i/>
          <w:iCs/>
          <w:color w:val="0A0A0A"/>
          <w:sz w:val="96"/>
          <w:szCs w:val="96"/>
        </w:rPr>
        <w:t xml:space="preserve">White Moving Co.</w:t>
      </w:r>
    </w:p>
    <w:p>
      <w:pPr>
        <w:spacing w:after="0" w:before="400"/>
      </w:pPr>
      <w:r>
        <w:t xml:space="preserve"/>
      </w:r>
    </w:p>
    <w:p>
      <w:pPr>
        <w:spacing w:after="120" w:before="200"/>
        <w:jc w:val="center"/>
      </w:pPr>
      <w:r>
        <w:rPr>
          <w:rFonts w:ascii="Calibri" w:cs="Calibri" w:eastAsia="Calibri" w:hAnsi="Calibri"/>
          <w:color w:val="7A7468"/>
          <w:sz w:val="24"/>
          <w:szCs w:val="24"/>
        </w:rPr>
        <w:t xml:space="preserve">Guía completa de uso · 13 módulos</w:t>
      </w:r>
    </w:p>
    <w:p>
      <w:pPr>
        <w:spacing w:after="80" w:before="0"/>
        <w:jc w:val="center"/>
      </w:pPr>
      <w:r>
        <w:rPr>
          <w:rFonts w:ascii="Calibri" w:cs="Calibri" w:eastAsia="Calibri" w:hAnsi="Calibri"/>
          <w:i/>
          <w:iCs/>
          <w:color w:val="A09A8C"/>
          <w:sz w:val="22"/>
          <w:szCs w:val="22"/>
        </w:rPr>
        <w:t xml:space="preserve">Complete usage guide · 13 modules</w:t>
      </w:r>
    </w:p>
    <w:p>
      <w:pPr>
        <w:spacing w:after="0" w:before="800"/>
      </w:pPr>
      <w:r>
        <w:t xml:space="preserve"/>
      </w:r>
    </w:p>
    <w:p>
      <w:pPr>
        <w:pBdr>
          <w:top w:val="single" w:color="B89A5E" w:sz="12" w:space="8"/>
        </w:pBdr>
        <w:spacing w:after="80" w:before="400"/>
        <w:jc w:val="center"/>
      </w:pPr>
      <w:r>
        <w:rPr>
          <w:rFonts w:ascii="Consolas" w:cs="Consolas" w:eastAsia="Consolas" w:hAnsi="Consolas"/>
          <w:b/>
          <w:bCs/>
          <w:color w:val="7A7468"/>
          <w:spacing w:val="80"/>
          <w:sz w:val="16"/>
          <w:szCs w:val="16"/>
        </w:rPr>
        <w:t xml:space="preserve">VERSIÓN  ·  V3 LAUNCH EDITION  ·  2026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Tabla de contenido</w:t>
      </w:r>
    </w:p>
    <w:p>
      <w:pPr>
        <w:spacing w:after="200" w:before="100" w:line="32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Table of contents</w:t>
      </w:r>
    </w:p>
    <w:sdt>
      <w:sdtPr>
        <w:alias w:val="Tabla de contenido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INTRODUCCIÓN  ·  INTRODUCTION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Bienvenido al sistema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Este manual cubre cómo operar el Sistema CRM (App interna) de White Moving Company Multiservices. El sistema está disponible 24/7 desde cualquier navegador moderno (Chrome, Safari, Firefox, Edge) en computadora, tablet o teléfono.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This manual covers how to operate the White Moving Company Multiservices CRM System (internal app). The system is available 24/7 from any modern browser (Chrome, Safari, Firefox, Edge) on computer, tablet, or phone.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Cómo está estructurado este manual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Cada módulo del CRM tiene su propio capítulo con los siguientes elementos: (1) qué hace ese módulo, (2) cómo se usa paso a paso, (3) consejos de uso operativo, (4) errores comunes y cómo evitarlos.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Each CRM module has its own chapter with: (1) what the module does, (2) step-by-step usage, (3) operational tips, (4) common mistakes and how to avoid them.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Convenciones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Texto en negro: instrucción en español.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Italic gris: same instruction translated to English.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Recuadro dorado: tip operativo importante.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Capítulos numerados según el orden del menú lateral del CRM.</w:t>
      </w:r>
    </w:p>
    <w:p>
      <w:pPr>
        <w:spacing w:after="0" w:before="200"/>
      </w:pPr>
      <w:r>
        <w:t xml:space="preserve"/>
      </w:r>
    </w:p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IMPORTANTE  ·  IMPORTANT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Si en algún punto algo no funciona como aquí se describe, NO improvises. Reporta inmediatamente al soporte por email. El sistema tiene respaldos diarios; nada se pierde.</w:t>
      </w:r>
    </w:p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CAPÍTULO 00  ·  ACCESO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Cómo entrar al sistema</w:t>
      </w:r>
    </w:p>
    <w:p>
      <w:pPr>
        <w:pStyle w:val="Heading2"/>
        <w:spacing w:after="120" w:before="240"/>
      </w:pPr>
      <w:r>
        <w:rPr>
          <w:rFonts w:ascii="Georgia" w:cs="Georgia" w:eastAsia="Georgia" w:hAnsi="Georgia"/>
          <w:b/>
          <w:bCs/>
          <w:color w:val="0A0A0A"/>
          <w:sz w:val="30"/>
          <w:szCs w:val="30"/>
        </w:rPr>
        <w:t xml:space="preserve">How to access the system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Desde la página web pública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Abre tu página web pública (ejemplo: whitemovingco.com).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En la esquina superior derecha hay un botón llamado "Portal".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Haz click en "Portal" y entrarás directo al CRM.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Para volver a la web pública, en el menú lateral del CRM haz click en "← Volver a la web".</w:t>
      </w:r>
    </w:p>
    <w:p>
      <w:pPr>
        <w:spacing w:after="0" w:before="160"/>
      </w:pPr>
      <w:r>
        <w:t xml:space="preserve"/>
      </w:r>
    </w:p>
    <w:p>
      <w:pPr>
        <w:spacing w:after="100" w:before="100" w:line="320"/>
      </w:pPr>
      <w:r>
        <w:rPr>
          <w:rFonts w:ascii="Calibri" w:cs="Calibri" w:eastAsia="Calibri" w:hAnsi="Calibri"/>
          <w:b/>
          <w:bCs/>
          <w:i/>
          <w:iCs/>
          <w:color w:val="7A7468"/>
          <w:sz w:val="22"/>
          <w:szCs w:val="22"/>
        </w:rPr>
        <w:t xml:space="preserve">From the public website:</w:t>
      </w:r>
    </w:p>
    <w:p>
      <w:pPr>
        <w:spacing w:after="100" w:before="100" w:line="28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1. Open your public website (example: whitemovingco.com).</w:t>
      </w:r>
    </w:p>
    <w:p>
      <w:pPr>
        <w:spacing w:after="100" w:before="100" w:line="28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2. In the top right corner there is a button called "Portal".</w:t>
      </w:r>
    </w:p>
    <w:p>
      <w:pPr>
        <w:spacing w:after="100" w:before="100" w:line="28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3. Click "Portal" to enter the CRM directly.</w:t>
      </w:r>
    </w:p>
    <w:p>
      <w:pPr>
        <w:spacing w:after="100" w:before="100" w:line="28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4. To return to the public site, in the CRM sidebar click "← Back to website".</w:t>
      </w:r>
    </w:p>
    <w:p>
      <w:pPr>
        <w:spacing w:after="0" w:before="20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Desde una URL directa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También puedes guardar la URL del CRM directamente en favoritos: agrega "#crm" al final de la dirección de la web (ejemplo: whitemovingco.com#crm). Esto te lleva directo al panel sin pasar por la página pública.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You can also bookmark the CRM URL directly: append "#crm" at the end of your website address (example: whitemovingco.com#crm). This takes you straight to the panel.</w:t>
      </w:r>
    </w:p>
    <w:p>
      <w:pPr>
        <w:spacing w:after="0" w:before="160"/>
      </w:pPr>
      <w:r>
        <w:t xml:space="preserve"/>
      </w:r>
    </w:p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TIP   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Recomendación: guarda whitemovingco.com#crm en los favoritos del navegador con el nombre "White Moving CRM" para acceso de un click. / Save whitemovingco.com#crm in browser favorites named "White Moving CRM" for one-click access.</w:t>
      </w:r>
    </w:p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CAPÍTULO 01  ·  MÓDULO DASHBOARD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Dashboard ejecutivo</w:t>
      </w:r>
    </w:p>
    <w:p>
      <w:pPr>
        <w:pStyle w:val="Heading2"/>
        <w:spacing w:after="120" w:before="240"/>
      </w:pPr>
      <w:r>
        <w:rPr>
          <w:rFonts w:ascii="Georgia" w:cs="Georgia" w:eastAsia="Georgia" w:hAnsi="Georgia"/>
          <w:b/>
          <w:bCs/>
          <w:color w:val="0A0A0A"/>
          <w:sz w:val="30"/>
          <w:szCs w:val="30"/>
        </w:rPr>
        <w:t xml:space="preserve">¿Qué hace?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Es la pantalla principal del CRM. Muestra los 5 indicadores clave del negocio en tiempo real, las próximas mudanzas, las acciones pendientes del día, los leads recibidos desde la web, las reseñas pendientes y las cuentas por cobrar.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Main CRM screen. Shows 5 key business indicators in real time, upcoming moves, today's pending actions, leads received from the web, pending reviews, and accounts receivable.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Los 5 KPIs del encabezado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Leads activos: cuántos prospectos están en estado Nuevo o Cotizado. Aún no se cierran.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Reservados: cuántas mudanzas están agendadas o en progreso. Compromiso firme.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Conversión: % de leads del mes actual que se convirtieron en booking. Compara vs mes pasado.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Pipeline: $ valor proyectado de todas las oportunidades activas (leads + jobs no cerrados).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Ticket promedio: $ promedio histórico por mudanza completada. Indicador de rentabilidad.</w:t>
      </w:r>
    </w:p>
    <w:p>
      <w:pPr>
        <w:spacing w:after="0" w:before="160"/>
      </w:pPr>
      <w:r>
        <w:t xml:space="preserve"/>
      </w:r>
    </w:p>
    <w:p>
      <w:pPr>
        <w:spacing w:after="100" w:before="100" w:line="320"/>
      </w:pPr>
      <w:r>
        <w:rPr>
          <w:rFonts w:ascii="Calibri" w:cs="Calibri" w:eastAsia="Calibri" w:hAnsi="Calibri"/>
          <w:b/>
          <w:bCs/>
          <w:i/>
          <w:iCs/>
          <w:color w:val="7A7468"/>
          <w:sz w:val="22"/>
          <w:szCs w:val="22"/>
        </w:rPr>
        <w:t xml:space="preserve">English:</w:t>
      </w:r>
    </w:p>
    <w:p>
      <w:pPr>
        <w:spacing w:after="100" w:before="100" w:line="28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• Active leads: how many prospects are in New or Quoted status. Not yet closed.</w:t>
      </w:r>
    </w:p>
    <w:p>
      <w:pPr>
        <w:spacing w:after="100" w:before="100" w:line="28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• Booked: how many moves are scheduled or in progress. Firm commitment.</w:t>
      </w:r>
    </w:p>
    <w:p>
      <w:pPr>
        <w:spacing w:after="100" w:before="100" w:line="28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• Conversion: % of current month leads that became bookings. Compares vs last month.</w:t>
      </w:r>
    </w:p>
    <w:p>
      <w:pPr>
        <w:spacing w:after="100" w:before="100" w:line="28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• Pipeline: $ projected value of all active opportunities.</w:t>
      </w:r>
    </w:p>
    <w:p>
      <w:pPr>
        <w:spacing w:after="100" w:before="100" w:line="28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• Average ticket: $ historical average per completed move. Profitability indicator.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Acciones pendientes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En el panel "Acciones pendientes" verás 4 tareas críticas que el equipo debe ejecutar HOY: leads nuevos para llamar, cotizaciones que esperan respuesta, mudanzas en las próximas 48 horas para confirmar, y jobs que requieren COI (Certificate of Insurance).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In "Pending actions" you see 4 critical tasks for TODAY: new leads to call, quotes waiting for response, moves in the next 48 hours to confirm, and jobs requiring COI (Certificate of Insurance).</w:t>
      </w:r>
    </w:p>
    <w:p>
      <w:pPr>
        <w:spacing w:after="0" w:before="120"/>
      </w:pPr>
      <w:r>
        <w:t xml:space="preserve"/>
      </w:r>
    </w:p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TIP   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Regla de oro: nunca termines el día sin haber atendido los leads nuevos. Los grandes movers responden en menos de 5 minutos. / Golden rule: never end the day without handling new leads. Major movers respond in under 5 minutes.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Reviews pendientes y cuentas por cobrar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Cada mudanza completada que aún no le hayas pedido reseña en Google aparece aquí. Click en "Pedir review" y el sistema te genera el mensaje sugerido bilingüe para enviar al cliente. Las cuentas por cobrar te muestran qué clientes deben balance pendiente.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Every completed move where a Google review hasn't been requested appears here. Click "Request review" and the system generates a suggested bilingual message to send. Accounts receivable shows which clients owe balance.</w:t>
      </w:r>
    </w:p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CAPÍTULO 02  ·  PIPELINE COMERCIAL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Pipeline kanban</w:t>
      </w:r>
    </w:p>
    <w:p>
      <w:pPr>
        <w:pStyle w:val="Heading2"/>
        <w:spacing w:after="120" w:before="240"/>
      </w:pPr>
      <w:r>
        <w:rPr>
          <w:rFonts w:ascii="Georgia" w:cs="Georgia" w:eastAsia="Georgia" w:hAnsi="Georgia"/>
          <w:b/>
          <w:bCs/>
          <w:color w:val="0A0A0A"/>
          <w:sz w:val="30"/>
          <w:szCs w:val="30"/>
        </w:rPr>
        <w:t xml:space="preserve">¿Qué hace?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Visualiza el embudo de ventas en 6 columnas. Cada lead o mudanza es una tarjeta que se mueve de izquierda a derecha conforme avanza el proceso comercial: Nuevo → Cotizado → Reservado → En progreso → Completado → Cancelado.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Visualizes the sales funnel in 6 columns. Each lead or job is a card that moves left to right as the sales process advances: New → Quoted → Booked → In progress → Completed → Cancelled.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Cómo usar las tarjetas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Cada tarjeta muestra nombre del cliente, servicio, valor, ruta y fecha.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Botón "Avanzar →" mueve la tarjeta a la siguiente columna automáticamente.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Botón "Crear job" (solo visible en leads) convierte el lead en una mudanza agendada.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Botón "×" elimina la tarjeta (con confirmación). Úsalo solo si fue por error.</w:t>
      </w:r>
    </w:p>
    <w:p>
      <w:pPr>
        <w:spacing w:after="0" w:before="160"/>
      </w:pPr>
      <w:r>
        <w:t xml:space="preserve"/>
      </w:r>
    </w:p>
    <w:p>
      <w:pPr>
        <w:spacing w:after="100" w:before="100" w:line="320"/>
      </w:pPr>
      <w:r>
        <w:rPr>
          <w:rFonts w:ascii="Calibri" w:cs="Calibri" w:eastAsia="Calibri" w:hAnsi="Calibri"/>
          <w:b/>
          <w:bCs/>
          <w:i/>
          <w:iCs/>
          <w:color w:val="7A7468"/>
          <w:sz w:val="22"/>
          <w:szCs w:val="22"/>
        </w:rPr>
        <w:t xml:space="preserve">How to use the cards:</w:t>
      </w:r>
    </w:p>
    <w:p>
      <w:pPr>
        <w:spacing w:after="100" w:before="100" w:line="28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1. Each card shows client name, service, value, route, and date.</w:t>
      </w:r>
    </w:p>
    <w:p>
      <w:pPr>
        <w:spacing w:after="100" w:before="100" w:line="28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2. "Advance →" button moves the card to the next column automatically.</w:t>
      </w:r>
    </w:p>
    <w:p>
      <w:pPr>
        <w:spacing w:after="100" w:before="100" w:line="28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3. "Create job" button (only visible on leads) converts the lead into a scheduled move.</w:t>
      </w:r>
    </w:p>
    <w:p>
      <w:pPr>
        <w:spacing w:after="100" w:before="100" w:line="28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4. "×" button removes the card (with confirmation). Use only if entered by mistake.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Significado de cada columna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8"/>
                <w:szCs w:val="18"/>
              </w:rPr>
              <w:t xml:space="preserve">NUEVO</w:t>
            </w:r>
          </w:p>
        </w:tc>
        <w:tc>
          <w:tcPr>
            <w:tcW w:type="dxa" w:w="70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8"/>
                <w:szCs w:val="18"/>
              </w:rPr>
              <w:t xml:space="preserve">NEW</w:t>
            </w:r>
          </w:p>
        </w:tc>
      </w:tr>
      <w:tr>
        <w:tc>
          <w:tcPr>
            <w:tcW w:type="dxa" w:w="234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B89A5E"/>
                <w:sz w:val="22"/>
                <w:szCs w:val="22"/>
              </w:rPr>
              <w:t xml:space="preserve">Nuevo</w:t>
            </w:r>
          </w:p>
        </w:tc>
        <w:tc>
          <w:tcPr>
            <w:tcW w:type="dxa" w:w="70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Lead recién entrado, aún no contactado o sin cotización formal enviada. ACCIÓN: llamar en menos de 5 minutos.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i/>
                <w:iCs/>
                <w:color w:val="7A7468"/>
                <w:sz w:val="18"/>
                <w:szCs w:val="18"/>
              </w:rPr>
              <w:t xml:space="preserve">Lead just received, not yet contacted or quoted. ACTION: call within 5 minutes.</w:t>
            </w:r>
          </w:p>
        </w:tc>
      </w:tr>
      <w:tr>
        <w:tc>
          <w:tcPr>
            <w:tcW w:type="dxa" w:w="234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B89A5E"/>
                <w:sz w:val="22"/>
                <w:szCs w:val="22"/>
              </w:rPr>
              <w:t xml:space="preserve">Cotizado</w:t>
            </w:r>
          </w:p>
        </w:tc>
        <w:tc>
          <w:tcPr>
            <w:tcW w:type="dxa" w:w="70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Cotización ya enviada al cliente. Esperando respuesta. ACCIÓN: follow-up al día 1, 3 y 7.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i/>
                <w:iCs/>
                <w:color w:val="7A7468"/>
                <w:sz w:val="18"/>
                <w:szCs w:val="18"/>
              </w:rPr>
              <w:t xml:space="preserve">Quote already sent. Awaiting response. ACTION: follow-up on day 1, 3, and 7.</w:t>
            </w:r>
          </w:p>
        </w:tc>
      </w:tr>
      <w:tr>
        <w:tc>
          <w:tcPr>
            <w:tcW w:type="dxa" w:w="234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B89A5E"/>
                <w:sz w:val="22"/>
                <w:szCs w:val="22"/>
              </w:rPr>
              <w:t xml:space="preserve">Reservado</w:t>
            </w:r>
          </w:p>
        </w:tc>
        <w:tc>
          <w:tcPr>
            <w:tcW w:type="dxa" w:w="70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Cliente aceptó y pagó depósito. Mudanza con fecha confirmada. ACCIÓN: confirmar 48h antes.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i/>
                <w:iCs/>
                <w:color w:val="7A7468"/>
                <w:sz w:val="18"/>
                <w:szCs w:val="18"/>
              </w:rPr>
              <w:t xml:space="preserve">Client accepted and paid deposit. Move date confirmed. ACTION: confirm 48h prior.</w:t>
            </w:r>
          </w:p>
        </w:tc>
      </w:tr>
      <w:tr>
        <w:tc>
          <w:tcPr>
            <w:tcW w:type="dxa" w:w="234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B89A5E"/>
                <w:sz w:val="22"/>
                <w:szCs w:val="22"/>
              </w:rPr>
              <w:t xml:space="preserve">En progreso</w:t>
            </w:r>
          </w:p>
        </w:tc>
        <w:tc>
          <w:tcPr>
            <w:tcW w:type="dxa" w:w="70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Crew ya está cargando o transportando. ACCIÓN: monitorear y resolver imprevistos.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i/>
                <w:iCs/>
                <w:color w:val="7A7468"/>
                <w:sz w:val="18"/>
                <w:szCs w:val="18"/>
              </w:rPr>
              <w:t xml:space="preserve">Crew is loading or transporting. ACTION: monitor and resolve issues.</w:t>
            </w:r>
          </w:p>
        </w:tc>
      </w:tr>
      <w:tr>
        <w:tc>
          <w:tcPr>
            <w:tcW w:type="dxa" w:w="234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B89A5E"/>
                <w:sz w:val="22"/>
                <w:szCs w:val="22"/>
              </w:rPr>
              <w:t xml:space="preserve">Completado</w:t>
            </w:r>
          </w:p>
        </w:tc>
        <w:tc>
          <w:tcPr>
            <w:tcW w:type="dxa" w:w="70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Mudanza terminada y cobrada. ACCIÓN: pedir reseña en Google al día siguiente.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i/>
                <w:iCs/>
                <w:color w:val="7A7468"/>
                <w:sz w:val="18"/>
                <w:szCs w:val="18"/>
              </w:rPr>
              <w:t xml:space="preserve">Move finished and paid. ACTION: request Google review next day.</w:t>
            </w:r>
          </w:p>
        </w:tc>
      </w:tr>
      <w:tr>
        <w:tc>
          <w:tcPr>
            <w:tcW w:type="dxa" w:w="234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B89A5E"/>
                <w:sz w:val="22"/>
                <w:szCs w:val="22"/>
              </w:rPr>
              <w:t xml:space="preserve">Cancelado</w:t>
            </w:r>
          </w:p>
        </w:tc>
        <w:tc>
          <w:tcPr>
            <w:tcW w:type="dxa" w:w="70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No se concretó. ACCIÓN: registrar razón en notas para análisis posterior.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i/>
                <w:iCs/>
                <w:color w:val="7A7468"/>
                <w:sz w:val="18"/>
                <w:szCs w:val="18"/>
              </w:rPr>
              <w:t xml:space="preserve">Did not close. ACTION: log reason in notes for later analysis.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TIP   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No mantengas tarjetas estancadas en una columna más de 7 días. Si después de 7 días un Cotizado no responde, muévelo a Cancelado con nota "no responde". / Don't keep cards stuck in a column more than 7 days. After 7 days non-response, move to Cancelled.</w:t>
      </w:r>
    </w:p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CAPÍTULO 03  ·  AGENDA DE MUDANZAS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Agenda y operación diaria</w:t>
      </w:r>
    </w:p>
    <w:p>
      <w:pPr>
        <w:pStyle w:val="Heading2"/>
        <w:spacing w:after="120" w:before="240"/>
      </w:pPr>
      <w:r>
        <w:rPr>
          <w:rFonts w:ascii="Georgia" w:cs="Georgia" w:eastAsia="Georgia" w:hAnsi="Georgia"/>
          <w:b/>
          <w:bCs/>
          <w:color w:val="0A0A0A"/>
          <w:sz w:val="30"/>
          <w:szCs w:val="30"/>
        </w:rPr>
        <w:t xml:space="preserve">¿Qué hace?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Lista todas las mudanzas (jobs) en formato tabla con búsqueda por cliente, ruta o servicio, y filtro por estado. Es la vista principal del personal de oficina y crew leads.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Lists all jobs in table format with search by client, route, or service, and status filter. Main view for office staff and crew leads.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Cómo agregar una mudanza nueva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Botón "+ Mudanza" arriba a la derecha del CRM.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Llena cliente, fecha, hora, servicio, origen, destino, crew, camión, precio total, depósito recibido, balance, COI y notas.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Selecciona estado (Reservado por defecto si ya cobraste depósito).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Click "Guardar mudanza →".</w:t>
      </w:r>
    </w:p>
    <w:p>
      <w:pPr>
        <w:spacing w:after="0" w:before="12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Búsqueda y filtros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Caja de búsqueda: escribe nombre del cliente, ciudad de origen, ciudad de destino, o tipo de servicio.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Filtro de estado: muestra solo Reservados / En progreso / Completados / Cancelados.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Botón "Export agenda CSV" descarga toda la agenda para Excel o contabilidad.</w:t>
      </w:r>
    </w:p>
    <w:p>
      <w:pPr>
        <w:spacing w:after="0" w:before="20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Información esencial por cada job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6"/>
                <w:szCs w:val="16"/>
              </w:rPr>
              <w:t xml:space="preserve">CAMPO  ·  FIELD</w:t>
            </w:r>
          </w:p>
        </w:tc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6"/>
                <w:szCs w:val="16"/>
              </w:rPr>
              <w:t xml:space="preserve">PARA QUÉ SIRVE</w:t>
            </w:r>
          </w:p>
        </w:tc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6"/>
                <w:szCs w:val="16"/>
              </w:rPr>
              <w:t xml:space="preserve">USE</w:t>
            </w:r>
          </w:p>
        </w:tc>
      </w:tr>
      <w:tr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18"/>
                <w:szCs w:val="18"/>
              </w:rPr>
              <w:t xml:space="preserve">Crew lead</w:t>
            </w:r>
          </w:p>
        </w:tc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Persona responsable del trabajo en sitio.</w:t>
            </w:r>
          </w:p>
        </w:tc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i/>
                <w:iCs/>
                <w:color w:val="7A7468"/>
                <w:sz w:val="16"/>
                <w:szCs w:val="16"/>
              </w:rPr>
              <w:t xml:space="preserve">Person responsible on-site.</w:t>
            </w:r>
          </w:p>
        </w:tc>
      </w:tr>
      <w:tr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18"/>
                <w:szCs w:val="18"/>
              </w:rPr>
              <w:t xml:space="preserve">Camión</w:t>
            </w:r>
          </w:p>
        </w:tc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Tamaño asignado: 16, 20 o 26 ft.</w:t>
            </w:r>
          </w:p>
        </w:tc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i/>
                <w:iCs/>
                <w:color w:val="7A7468"/>
                <w:sz w:val="16"/>
                <w:szCs w:val="16"/>
              </w:rPr>
              <w:t xml:space="preserve">Truck size: 16, 20, or 26 ft.</w:t>
            </w:r>
          </w:p>
        </w:tc>
      </w:tr>
      <w:tr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18"/>
                <w:szCs w:val="18"/>
              </w:rPr>
              <w:t xml:space="preserve">COI requerido</w:t>
            </w:r>
          </w:p>
        </w:tc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"Sí" si el edificio pide Certificate of Insurance.</w:t>
            </w:r>
          </w:p>
        </w:tc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i/>
                <w:iCs/>
                <w:color w:val="7A7468"/>
                <w:sz w:val="16"/>
                <w:szCs w:val="16"/>
              </w:rPr>
              <w:t xml:space="preserve">"Yes" if building requires COI.</w:t>
            </w:r>
          </w:p>
        </w:tc>
      </w:tr>
      <w:tr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18"/>
                <w:szCs w:val="18"/>
              </w:rPr>
              <w:t xml:space="preserve">Depósito</w:t>
            </w:r>
          </w:p>
        </w:tc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Lo que el cliente ya pagó. Recomendamos 25%.</w:t>
            </w:r>
          </w:p>
        </w:tc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i/>
                <w:iCs/>
                <w:color w:val="7A7468"/>
                <w:sz w:val="16"/>
                <w:szCs w:val="16"/>
              </w:rPr>
              <w:t xml:space="preserve">Already paid. We recommend 25%.</w:t>
            </w:r>
          </w:p>
        </w:tc>
      </w:tr>
      <w:tr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18"/>
                <w:szCs w:val="18"/>
              </w:rPr>
              <w:t xml:space="preserve">Balance</w:t>
            </w:r>
          </w:p>
        </w:tc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Precio total menos depósito. Lo que cobras al cierre.</w:t>
            </w:r>
          </w:p>
        </w:tc>
        <w:tc>
          <w:tcPr>
            <w:tcW w:type="dxa" w:w="31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i/>
                <w:iCs/>
                <w:color w:val="7A7468"/>
                <w:sz w:val="16"/>
                <w:szCs w:val="16"/>
              </w:rPr>
              <w:t xml:space="preserve">Total minus deposit. Charged at close.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TIP   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Cuando termines una mudanza, abre la job y cambia el estado a "Completado" + pon balance en 0 si ya cobraste todo. Eso libera la entrada en cuentas por cobrar. / When you finish, change status to "Completed" + balance to 0 if fully paid.</w:t>
      </w:r>
    </w:p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CAPÍTULO 04  ·  CALENDARIO OPERATIVO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Calendario de 14 días</w:t>
      </w:r>
    </w:p>
    <w:p>
      <w:pPr>
        <w:pStyle w:val="Heading2"/>
        <w:spacing w:after="120" w:before="240"/>
      </w:pPr>
      <w:r>
        <w:rPr>
          <w:rFonts w:ascii="Georgia" w:cs="Georgia" w:eastAsia="Georgia" w:hAnsi="Georgia"/>
          <w:b/>
          <w:bCs/>
          <w:color w:val="0A0A0A"/>
          <w:sz w:val="30"/>
          <w:szCs w:val="30"/>
        </w:rPr>
        <w:t xml:space="preserve">¿Qué hace?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Vista de calendario con las próximas 14 días donde cada mudanza aparece como evento sobre la fecha correspondiente. Útil para ver carga de trabajo de un vistazo.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Calendar view of the next 14 days where each move appears as an event on the corresponding date. Useful to see workload at a glance.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Navegación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"← Semana ant." retrocede 7 días.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"Hoy" vuelve al día actual.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"Semana sig. →" avanza 7 días.</w:t>
      </w:r>
    </w:p>
    <w:p>
      <w:pPr>
        <w:spacing w:after="0" w:before="12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Lectura del calendario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Día con borde dorado = HOY.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Cada evento muestra hora · cliente · crew · valor.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Días vacíos en blanco = oportunidad de agendar.</w:t>
      </w:r>
    </w:p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TIP   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Si ves más de 3 jobs el mismo día y solo tienes 1 crew, debes contratar refuerzo o reagendar. El calendario te avisa visualmente. / If you see more than 3 jobs on a single day with 1 crew, you need backup or to reschedule. Calendar alerts you visually.</w:t>
      </w:r>
    </w:p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CAPÍTULO 05  ·  BASE DE CLIENTES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Base de clientes</w:t>
      </w:r>
    </w:p>
    <w:p>
      <w:pPr>
        <w:pStyle w:val="Heading2"/>
        <w:spacing w:after="120" w:before="240"/>
      </w:pPr>
      <w:r>
        <w:rPr>
          <w:rFonts w:ascii="Georgia" w:cs="Georgia" w:eastAsia="Georgia" w:hAnsi="Georgia"/>
          <w:b/>
          <w:bCs/>
          <w:color w:val="0A0A0A"/>
          <w:sz w:val="30"/>
          <w:szCs w:val="30"/>
        </w:rPr>
        <w:t xml:space="preserve">¿Qué hace?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Lista única de todos los clientes (consolidada automáticamente desde leads + jobs por número de teléfono). Muestra historial, ciudad, lifetime value, número de mudanzas y último servicio.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Unique list of all clients (auto-consolidated from leads + jobs by phone number). Shows history, city, lifetime value, number of moves, and last service.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Para qué sirve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Identificar clientes recurrentes (los más rentables del negocio).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Buscar histórico cuando un cliente vuelve a llamar después de meses.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Exportar lista para campañas de email o post navideño.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Identificar tu top 20% de clientes (los que generan 80% del revenue).</w:t>
      </w:r>
    </w:p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TIP   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Cada 3 meses exporta esta lista, identifica los 20 clientes con mayor lifetime value, y mándales un mensaje personal de agradecimiento. Los clientes recurrentes valen 5x más que un lead frío. / Every 3 months export the list, identify top 20 LTV clients, and send a personal thank-you. Recurring clients are 5x more valuable than cold leads.</w:t>
      </w:r>
    </w:p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CAPÍTULO 06  ·  COTIZADOR PROFESIONAL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Cotizador interno</w:t>
      </w:r>
    </w:p>
    <w:p>
      <w:pPr>
        <w:pStyle w:val="Heading2"/>
        <w:spacing w:after="120" w:before="240"/>
      </w:pPr>
      <w:r>
        <w:rPr>
          <w:rFonts w:ascii="Georgia" w:cs="Georgia" w:eastAsia="Georgia" w:hAnsi="Georgia"/>
          <w:b/>
          <w:bCs/>
          <w:color w:val="0A0A0A"/>
          <w:sz w:val="30"/>
          <w:szCs w:val="30"/>
        </w:rPr>
        <w:t xml:space="preserve">¿Qué hace?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Calcula el estimado de una mudanza con desglose detallado: base por tamaño, crew adicional, upgrade de camión, distancia, complejidad de acceso, packing, materiales, heavy items y service fee.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Calculates a moving estimate with detailed breakdown: base by size, additional crew, truck upgrade, distance, access complexity, packing, materials, heavy items, and service fee.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Cómo usar el cotizador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Selecciona el tamaño del lugar (Studio hasta 4+ BR, Office Small/Mid).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Selecciona crew (2 a 5 movers — más crew = más rápido pero más caro).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Selecciona camión (16, 20 o 26 ft según volumen).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Ingresa millas de distancia entre origen y destino.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Selecciona complejidad: Easy / Medium (escaleras) / Hard (sin elevador) / Extreme (3+ pisos sin elevador).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Selecciona packing: Sin / Parcial / Cocina+frágiles / Full pack.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Ingresa $ de materiales y heavy items si aplica.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Click "Calcular estimado profesional →".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Lectura del resultado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Total grande arriba: estimado profesional sin impuestos.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Depósito sugerido (default $200) + balance al cierre = total.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Desglose por concepto en cuadrícula de 9 cajas.</w:t>
      </w:r>
    </w:p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TIP   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El cotizador es para uso INTERNO. El cliente no debe ver los precios desglosados. Para enviarle al cliente usa el módulo Documentos → Estimate. / The calculator is for INTERNAL use. Client should not see the line-by-line. To send to the client use Documents → Estimate.</w:t>
      </w:r>
    </w:p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CAPÍTULO 07  ·  DOCUMENTOS IMPRIMIBLES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Estimate y Bill of Lading</w:t>
      </w:r>
    </w:p>
    <w:p>
      <w:pPr>
        <w:pStyle w:val="Heading2"/>
        <w:spacing w:after="120" w:before="240"/>
      </w:pPr>
      <w:r>
        <w:rPr>
          <w:rFonts w:ascii="Georgia" w:cs="Georgia" w:eastAsia="Georgia" w:hAnsi="Georgia"/>
          <w:b/>
          <w:bCs/>
          <w:color w:val="0A0A0A"/>
          <w:sz w:val="30"/>
          <w:szCs w:val="30"/>
        </w:rPr>
        <w:t xml:space="preserve">¿Qué hace?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Genera dos documentos legales imprimibles: el Estimate (cotización formal para enviar al cliente antes de cerrar) y el Bill of Lading (documento legal MnDOT requerido el día de la mudanza).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Generates two printable legal documents: the Estimate (formal quote sent before closing) and the Bill of Lading (MnDOT-required legal document on move day).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Cómo generarlos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Selecciona el lead o job del dropdown.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Click "Estimate" o "Bill of Lading" según corresponda.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Revisa que toda la info sea correcta.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Click "🖨 Imprimir" o usa Ctrl+P / Cmd+P.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Imprime en papel o "Save as PDF" si quieres mandarlo por email.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Diferencias clave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8"/>
                <w:szCs w:val="18"/>
              </w:rPr>
              <w:t xml:space="preserve">ESTIMATE</w:t>
            </w:r>
          </w:p>
        </w:tc>
        <w:tc>
          <w:tcPr>
            <w:tcW w:type="dxa" w:w="46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8"/>
                <w:szCs w:val="18"/>
              </w:rPr>
              <w:t xml:space="preserve">BILL OF LADING</w:t>
            </w:r>
          </w:p>
        </w:tc>
      </w:tr>
      <w:tr>
        <w:tc>
          <w:tcPr>
            <w:tcW w:type="dxa" w:w="46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18"/>
                <w:szCs w:val="18"/>
              </w:rPr>
              <w:t xml:space="preserve">Se manda ANTES de la mudanza.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i/>
                <w:iCs/>
                <w:color w:val="7A7468"/>
                <w:sz w:val="16"/>
                <w:szCs w:val="16"/>
              </w:rPr>
              <w:t xml:space="preserve">Es la cotización formal con desglose, válida 30 días.</w:t>
            </w:r>
          </w:p>
        </w:tc>
        <w:tc>
          <w:tcPr>
            <w:tcW w:type="dxa" w:w="46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18"/>
                <w:szCs w:val="18"/>
              </w:rPr>
              <w:t xml:space="preserve">Se firma el DÍA de la mudanza.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i/>
                <w:iCs/>
                <w:color w:val="7A7468"/>
                <w:sz w:val="16"/>
                <w:szCs w:val="16"/>
              </w:rPr>
              <w:t xml:space="preserve">Documento legal MnDOT obligatorio. Cliente firma al inicio.</w:t>
            </w:r>
          </w:p>
        </w:tc>
      </w:tr>
    </w:tbl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TIP   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NUNCA empieces a cargar sin Bill of Lading firmado. Es ilegal en Minnesota y te expone a multas y reclamaciones sin defensa legal. / NEVER start loading without signed Bill of Lading. It's illegal in Minnesota and exposes you to fines and unprotected claims.</w:t>
      </w:r>
    </w:p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CAPÍTULO 08  ·  LEAD SOURCES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Análisis de fuentes de lead</w:t>
      </w:r>
    </w:p>
    <w:p>
      <w:pPr>
        <w:pStyle w:val="Heading2"/>
        <w:spacing w:after="120" w:before="240"/>
      </w:pPr>
      <w:r>
        <w:rPr>
          <w:rFonts w:ascii="Georgia" w:cs="Georgia" w:eastAsia="Georgia" w:hAnsi="Georgia"/>
          <w:b/>
          <w:bCs/>
          <w:color w:val="0A0A0A"/>
          <w:sz w:val="30"/>
          <w:szCs w:val="30"/>
        </w:rPr>
        <w:t xml:space="preserve">¿Qué hace?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Muestra de dónde llegan los leads (Website, Google, Facebook, Referidos, Property Manager, Pro Cleaning Partner, Walk-in) y cuál convierte mejor.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Shows where leads come from (Website, Google, Facebook, Referrals, Property Manager, Pro Cleaning Partner, Walk-in) and which converts best.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Para qué sirve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Decidir dónde invertir más en marketing.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Identificar fuentes que dan muchos leads pero poca conversión (no rentables).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Identificar fuentes con pocos leads pero alta conversión (oportunidad de escalar).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Comparar valor real ganado por canal vs costo invertido.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Cómo leer los datos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"Top fuente por revenue ganado" = de dónde viene el dinero real.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"Mejor conversión" = la fuente más eficiente, aunque tenga pocos leads.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Tabla detallada: leads, convertidos, % de conversión coloreado, valor pipeline, revenue ganado.</w:t>
      </w:r>
    </w:p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TIP   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Si una fuente tiene 50%+ de conversión, invierte MÁS ahí. Si una fuente tiene &lt;15% de conversión, mide costo vs revenue antes de seguir gastando ahí. / If a source has 50%+ conversion, invest MORE there. If a source has &lt;15%, measure cost vs revenue before spending more.</w:t>
      </w:r>
    </w:p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CAPÍTULO 09  ·  FINANZAS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Dashboard financiero</w:t>
      </w:r>
    </w:p>
    <w:p>
      <w:pPr>
        <w:pStyle w:val="Heading2"/>
        <w:spacing w:after="120" w:before="240"/>
      </w:pPr>
      <w:r>
        <w:rPr>
          <w:rFonts w:ascii="Georgia" w:cs="Georgia" w:eastAsia="Georgia" w:hAnsi="Georgia"/>
          <w:b/>
          <w:bCs/>
          <w:color w:val="0A0A0A"/>
          <w:sz w:val="30"/>
          <w:szCs w:val="30"/>
        </w:rPr>
        <w:t xml:space="preserve">¿Qué hace?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Pantalla completa con 25 KPIs financieros del mes actual: ingresos, gastos por categoría, payroll, gas, mantenimiento, materiales, comisiones in/out, costo por lead, cuentas por cobrar, clientes recurrentes, donut por servicio y barras de últimos 6 meses.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Full screen with 25 financial KPIs for current month: revenue, expenses by category, payroll, gas, maintenance, materials, in/out commissions, cost per lead, accounts receivable, recurring clients, service donut, and 6-month bars.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Cash Flow Strip (lo más importante)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En la parte superior verás una sola línea: Revenue − Expenses = Net. Verde si positivo, rojo si negativo. Es el indicador más importante del mes — si es negativo, hay que actuar inmediato.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At the top you see a single line: Revenue − Expenses = Net. Green if positive, red if negative. Most important monthly indicator — if negative, act immediately.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Cómo registrar gastos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Botón "+ Gasto" arriba a la derecha del CRM.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Selecciona fecha, categoría (Payroll, Gasolina, Mantenimiento, Materiales, Marketing, Comisión, Seguro, Renta, Otro), monto y descripción.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Click "Guardar gasto →".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El gasto aparece de inmediato en el dashboard financiero del mes correspondiente.</w:t>
      </w:r>
    </w:p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TIP   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Registra los gastos el mismo día que ocurren. Acumular comprobantes para "después" es la receta para perder números. Disciplina diaria = decisiones limpias. / Log expenses the same day. Saving receipts "for later" is how numbers get lost.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Donut por servicio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Muestra qué servicio te genera más revenue. Si tu mayor revenue viene de Apartment Moving pero tu mayor inversión en marketing es para Commercial Moving, hay desalineación que corregir.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Shows which service generates most revenue. If your biggest revenue comes from Apartment Moving but biggest marketing spend is on Commercial, there's misalignment to fix.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Barras 6 meses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Tendencia de revenue mes a mes. Te dice si estás creciendo, estancado o en decline. Si ves 2 meses consecutivos en bajada, prende alarmas y revisa Lead Sources.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Month-over-month revenue trend. Tells you if you're growing, flat, or declining. 2 consecutive months down = alarm + review Lead Sources.</w:t>
      </w:r>
    </w:p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CAPÍTULO 10  ·  CREWS · PERFORMANCE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Performance por crew</w:t>
      </w:r>
    </w:p>
    <w:p>
      <w:pPr>
        <w:pStyle w:val="Heading2"/>
        <w:spacing w:after="120" w:before="240"/>
      </w:pPr>
      <w:r>
        <w:rPr>
          <w:rFonts w:ascii="Georgia" w:cs="Georgia" w:eastAsia="Georgia" w:hAnsi="Georgia"/>
          <w:b/>
          <w:bCs/>
          <w:color w:val="0A0A0A"/>
          <w:sz w:val="30"/>
          <w:szCs w:val="30"/>
        </w:rPr>
        <w:t xml:space="preserve">¿Qué hace?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Mide cuántos jobs hace cada crew lead, cuántos completa exitosamente, cuántos cancela y cuánto revenue genera. Identifica top performers y problemas operativos.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Measures how many jobs each crew lead handles, completes successfully, cancels, and how much revenue they generate. Identifies top performers and operational issues.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Cómo leer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Top crew por revenue: el que más dinero genera para la empresa.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Tasa de completion: % de jobs asignados que terminó completados (debe ser &gt;85%).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Cancelados: si un crew tiene &gt;15% de cancelados es un problema (asignación, capacidad, o calidad).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Bar chart visual: revenue distribution entre crews.</w:t>
      </w:r>
    </w:p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TIP   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Top crew = más bonos. Crews con bajo completion rate = entrenamiento o cambio. Estos números convertidos en decisiones quincenales son cómo se construye un equipo profesional. / Top crew = bigger bonuses. Crews with low completion = training or change. These numbers turned into bi-weekly decisions build a pro team.</w:t>
      </w:r>
    </w:p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CAPÍTULO 11  ·  PARTNER REFERRALS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Alianza con Pro Cleaning</w:t>
      </w:r>
    </w:p>
    <w:p>
      <w:pPr>
        <w:pStyle w:val="Heading2"/>
        <w:spacing w:after="120" w:before="240"/>
      </w:pPr>
      <w:r>
        <w:rPr>
          <w:rFonts w:ascii="Georgia" w:cs="Georgia" w:eastAsia="Georgia" w:hAnsi="Georgia"/>
          <w:b/>
          <w:bCs/>
          <w:color w:val="0A0A0A"/>
          <w:sz w:val="30"/>
          <w:szCs w:val="30"/>
        </w:rPr>
        <w:t xml:space="preserve">¿Qué hace?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Trackea referidos cruzados con Professional Cleaning Services LTL LLC. Cuando White Moving manda un cliente a limpiar, o Pro Cleaning manda un cliente a mudar, aquí se registra y se calcula la comisión.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Tracks cross-referrals with Professional Cleaning Services LTL LLC. When White Moving sends a client to cleaning, or Pro Cleaning sends one to moving, it's logged here and commission calculated.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Cómo agregar un referido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Botón "+ Referido" en el módulo Partner.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Selecciona dirección: "Enviado a Pro Cleaning" o "Recibido de Pro Cleaning".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Llena fecha, cliente, servicio referido, valor del servicio (lo que cobró la otra empresa) y % de comisión (default 12%).</w:t>
      </w:r>
    </w:p>
    <w:p>
      <w:pPr>
        <w:pStyle w:val="ListParagraph"/>
        <w:numPr>
          <w:ilvl w:val="0"/>
          <w:numId w:val="3"/>
        </w:num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Estado: pendiente (cleaning aún no cobró) → cobrado (cleaning ya cobró, comisión por liquidar) → pagado (comisión liquidada).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Reglas de la alianza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Empresas independientes: cada una con su EIN, seguro, banking y facturación.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Comisión 10-15% del valor neto del servicio referido.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Pago de comisión dentro de 7 días después del pago final del cliente.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Cliente firma 2 contratos en paquetes combinados (estimate+BOL con WM, service agreement con PC).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Reseñas separadas — cada empresa pide la suya en Google.</w:t>
      </w:r>
    </w:p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TIP   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Esta alianza es ganar-ganar pero solo si los números están limpios. Mensualmente concilien con Pro Cleaning quién debe a quién y se liquidan al día. Acumular comisiones genera fricción. / Win-win, but only with clean numbers. Reconcile monthly with Pro Cleaning, settle same day. Accumulating commissions creates friction.</w:t>
      </w:r>
    </w:p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CAPÍTULO 12  ·  COMPLIANCE MINNESOTA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Operación legal en MN</w:t>
      </w:r>
    </w:p>
    <w:p>
      <w:pPr>
        <w:pStyle w:val="Heading2"/>
        <w:spacing w:after="120" w:before="240"/>
      </w:pPr>
      <w:r>
        <w:rPr>
          <w:rFonts w:ascii="Georgia" w:cs="Georgia" w:eastAsia="Georgia" w:hAnsi="Georgia"/>
          <w:b/>
          <w:bCs/>
          <w:color w:val="0A0A0A"/>
          <w:sz w:val="30"/>
          <w:szCs w:val="30"/>
        </w:rPr>
        <w:t xml:space="preserve">¿Qué hace?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Documentación de los requisitos legales para operar como Household Goods Mover en Minnesota. No es trámite — es lo que te separa de un mover ilegal y te da credibilidad ante property managers.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Documents legal requirements to operate as Household Goods Mover in Minnesota. Not paperwork — what separates you from illegal movers and gives credibility to property managers.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Los 8 requisitos clave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MnDOT Household Goods Mover registration: número visible en marketing.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Tarifa publicada (Tariff): rates por hora, materiales, surcharges, política de cancelación.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Bill of Lading firmado antes de iniciar carga.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Seguros: General Liability $1M+, Cargo Insurance, Workers' Comp.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USDOT solo si cruzas líneas estatales.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Registro por mudanza: BOL, inventario, fotos, comprobante de pago, claims disclosure.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Política de claims documentada: Released Value 60¢/lb o Full Value Protection.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Driver/vehicle records: logs, mantenimiento, MVR, inspecciones al día.</w:t>
      </w:r>
    </w:p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TIP   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Property managers grandes piden COI antes de aprobar mover. Tener todos estos puntos en orden te abre la puerta a contratos institucionales que valen 10x más que un cliente residencial. / Big property managers require COI before approving. Having all these in order opens institutional contracts 10x bigger.</w:t>
      </w:r>
    </w:p>
    <w:p>
      <w:r>
        <w:br w:type="pag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CAPÍTULO 13  ·  SETTINGS</w:t>
      </w:r>
    </w:p>
    <w:p>
      <w:pPr>
        <w:pStyle w:val="Heading1"/>
        <w:spacing w:after="160" w:before="320"/>
      </w:pPr>
      <w:r>
        <w:rPr>
          <w:rFonts w:ascii="Georgia" w:cs="Georgia" w:eastAsia="Georgia" w:hAnsi="Georgia"/>
          <w:b/>
          <w:bCs/>
          <w:color w:val="0A0A0A"/>
          <w:sz w:val="40"/>
          <w:szCs w:val="40"/>
        </w:rPr>
        <w:t xml:space="preserve">Configuración del sistema</w:t>
      </w:r>
    </w:p>
    <w:p>
      <w:pPr>
        <w:pStyle w:val="Heading2"/>
        <w:spacing w:after="120" w:before="240"/>
      </w:pPr>
      <w:r>
        <w:rPr>
          <w:rFonts w:ascii="Georgia" w:cs="Georgia" w:eastAsia="Georgia" w:hAnsi="Georgia"/>
          <w:b/>
          <w:bCs/>
          <w:color w:val="0A0A0A"/>
          <w:sz w:val="30"/>
          <w:szCs w:val="30"/>
        </w:rPr>
        <w:t xml:space="preserve">¿Qué hace?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Permite configurar parámetros globales que el CRM usa para sus cálculos: presupuesto mensual de marketing, margen estimado, exportar todos los datos en CSV, y reset de datos demo.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Configure global parameters used by CRM for calculations: monthly marketing budget, estimated margin, export all data to CSV, and reset demo data.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Marketing budget mensual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Presupuesto que inviertes mensualmente en publicidad (Google Ads, Facebook, flyers, etc.). El CRM usa este número para calcular el Cost Per Lead automáticamente.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Monthly marketing spend (Google Ads, Facebook, flyers). CRM uses this to auto-calculate Cost Per Lead.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Margen estimado</w:t>
      </w:r>
    </w:p>
    <w:p>
      <w:pPr>
        <w:spacing w:after="100" w:before="100" w:line="32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Porcentaje promedio de margen bruto que esperas hacer sobre el revenue. El CRM lo usa para calcular utilidad estimada en el dashboard financiero. Default 35% — ajustable cuando tengas datos reales.</w:t>
      </w:r>
    </w:p>
    <w:p>
      <w:pPr>
        <w:spacing w:after="100" w:before="40" w:line="300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Average gross margin % expected on revenue. CRM uses it for estimated profit in finance dashboard. Default 35% — adjust when you have real data.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Exportar todo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Leads: todos los prospectos registrados.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Jobs: todas las mudanzas.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Clients: base de clientes consolidada.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Expenses: gastos.</w:t>
      </w:r>
    </w:p>
    <w:p>
      <w:pPr>
        <w:pStyle w:val="ListParagraph"/>
        <w:numPr>
          <w:ilvl w:val="0"/>
          <w:numId w:val="2"/>
        </w:numPr>
        <w:spacing w:after="60" w:before="60" w:line="300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Referrals: referidos cruzados con Pro Cleaning.</w:t>
      </w:r>
    </w:p>
    <w:p>
      <w:pPr>
        <w:spacing w:after="0" w:before="1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Reset all data</w:t>
      </w:r>
    </w:p>
    <w:p>
      <w:pPr>
        <w:pBdr>
          <w:left w:val="single" w:color="B89A5E" w:sz="24" w:space="8"/>
        </w:pBdr>
        <w:shd w:fill="FAF8F3" w:color="auto" w:val="clear"/>
        <w:spacing w:after="160" w:before="160" w:line="320"/>
        <w:ind w:left="240" w:right="240"/>
      </w:pPr>
      <w:r>
        <w:rPr>
          <w:rFonts w:ascii="Consolas" w:cs="Consolas" w:eastAsia="Consolas" w:hAnsi="Consolas"/>
          <w:b/>
          <w:bCs/>
          <w:color w:val="B89A5E"/>
          <w:spacing w:val="80"/>
          <w:sz w:val="16"/>
          <w:szCs w:val="16"/>
        </w:rPr>
        <w:t xml:space="preserve">TIP   </w:t>
      </w:r>
      <w:r>
        <w:rPr>
          <w:rFonts w:ascii="Calibri" w:cs="Calibri" w:eastAsia="Calibri" w:hAnsi="Calibri"/>
          <w:i/>
          <w:iCs/>
          <w:color w:val="0A0A0A"/>
          <w:sz w:val="22"/>
          <w:szCs w:val="22"/>
        </w:rPr>
        <w:t xml:space="preserve">PRECAUCIÓN: este botón borra absolutamente TODO y restaura los datos demo. Solo úsalo si quieres empezar de cero después de la fase de pruebas. Pide confirmación. / WARNING: this button erases EVERYTHING. Use only after testing phase. Confirms before deleting.</w:t>
      </w:r>
    </w:p>
    <w:p>
      <w:r>
        <w:br w:type="page"/>
      </w:r>
    </w:p>
    <w:p>
      <w:pPr>
        <w:spacing w:after="0" w:before="800"/>
      </w:pPr>
      <w:r>
        <w:t xml:space="preserve"/>
      </w:r>
    </w:p>
    <w:p>
      <w:pPr>
        <w:spacing w:after="100" w:before="200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CIERRE  ·  CLOSING</w:t>
      </w:r>
    </w:p>
    <w:p>
      <w:pPr>
        <w:spacing w:after="200" w:before="200" w:line="600"/>
        <w:jc w:val="center"/>
      </w:pPr>
      <w:r>
        <w:rPr>
          <w:rFonts w:ascii="Georgia" w:cs="Georgia" w:eastAsia="Georgia" w:hAnsi="Georgia"/>
          <w:color w:val="0A0A0A"/>
          <w:sz w:val="80"/>
          <w:szCs w:val="80"/>
        </w:rPr>
        <w:t xml:space="preserve">Operar</w:t>
      </w:r>
    </w:p>
    <w:p>
      <w:pPr>
        <w:spacing w:after="200" w:before="0" w:line="600"/>
        <w:jc w:val="center"/>
      </w:pPr>
      <w:r>
        <w:rPr>
          <w:rFonts w:ascii="Georgia" w:cs="Georgia" w:eastAsia="Georgia" w:hAnsi="Georgia"/>
          <w:i/>
          <w:iCs/>
          <w:color w:val="B89A5E"/>
          <w:sz w:val="80"/>
          <w:szCs w:val="80"/>
        </w:rPr>
        <w:t xml:space="preserve">con números.</w:t>
      </w:r>
    </w:p>
    <w:p>
      <w:pPr>
        <w:spacing w:after="0" w:before="400"/>
      </w:pPr>
      <w:r>
        <w:t xml:space="preserve"/>
      </w:r>
    </w:p>
    <w:p>
      <w:pPr>
        <w:spacing w:after="100" w:before="100" w:line="360"/>
        <w:jc w:val="center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Este sistema no resuelve el negocio por ti. Lo que hace es darte los números limpios y los procesos para que tomes decisiones rápido y bien.</w:t>
      </w:r>
    </w:p>
    <w:p>
      <w:pPr>
        <w:spacing w:after="0" w:before="80"/>
      </w:pPr>
      <w:r>
        <w:t xml:space="preserve"/>
      </w:r>
    </w:p>
    <w:p>
      <w:pPr>
        <w:spacing w:after="100" w:before="100" w:line="320"/>
        <w:jc w:val="center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This system doesn't solve the business for you. What it does is give you clean numbers and processes to make decisions fast and well.</w:t>
      </w:r>
    </w:p>
    <w:p>
      <w:pPr>
        <w:spacing w:after="0" w:before="400"/>
      </w:pPr>
      <w:r>
        <w:t xml:space="preserve"/>
      </w:r>
    </w:p>
    <w:p>
      <w:pPr>
        <w:pBdr>
          <w:bottom w:val="single" w:color="E7E3DA" w:sz="6" w:space="1"/>
        </w:pBdr>
        <w:spacing w:after="200" w:before="200"/>
      </w:pPr>
      <w:r>
        <w:t xml:space="preserve"/>
      </w:r>
    </w:p>
    <w:p>
      <w:pPr>
        <w:spacing w:after="0" w:before="20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8D7340"/>
          <w:sz w:val="24"/>
          <w:szCs w:val="24"/>
        </w:rPr>
        <w:t xml:space="preserve">Soporte</w:t>
      </w:r>
    </w:p>
    <w:p>
      <w:pPr>
        <w:spacing w:after="100" w:before="100" w:line="320"/>
        <w:jc w:val="center"/>
      </w:pPr>
      <w:r>
        <w:rPr>
          <w:rFonts w:ascii="Calibri" w:cs="Calibri" w:eastAsia="Calibri" w:hAnsi="Calibri"/>
          <w:color w:val="0A0A0A"/>
          <w:sz w:val="22"/>
          <w:szCs w:val="22"/>
        </w:rPr>
        <w:t xml:space="preserve">Email: hello@whitemovingco.com</w:t>
      </w:r>
    </w:p>
    <w:p>
      <w:pPr>
        <w:spacing w:after="100" w:before="100" w:line="320"/>
        <w:jc w:val="center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Respuesta garantizada en menos de 24 horas hábiles, lunes a viernes.</w:t>
      </w:r>
    </w:p>
    <w:p>
      <w:pPr>
        <w:spacing w:after="100" w:before="100" w:line="320"/>
        <w:jc w:val="center"/>
      </w:pPr>
      <w:r>
        <w:rPr>
          <w:rFonts w:ascii="Calibri" w:cs="Calibri" w:eastAsia="Calibri" w:hAnsi="Calibri"/>
          <w:i/>
          <w:iCs/>
          <w:color w:val="7A7468"/>
          <w:sz w:val="18"/>
          <w:szCs w:val="18"/>
        </w:rPr>
        <w:t xml:space="preserve">Reply guaranteed within 24 business hours, Monday to Friday.</w:t>
      </w:r>
    </w:p>
    <w:p>
      <w:pPr>
        <w:spacing w:after="0" w:before="400"/>
      </w:pPr>
      <w:r>
        <w:t xml:space="preserve"/>
      </w:r>
    </w:p>
    <w:p>
      <w:pPr>
        <w:pBdr>
          <w:top w:val="single" w:color="B89A5E" w:sz="12" w:space="6"/>
        </w:pBdr>
        <w:spacing w:after="80" w:before="400"/>
        <w:jc w:val="center"/>
      </w:pPr>
      <w:r>
        <w:rPr>
          <w:rFonts w:ascii="Consolas" w:cs="Consolas" w:eastAsia="Consolas" w:hAnsi="Consolas"/>
          <w:b/>
          <w:bCs/>
          <w:color w:val="7A7468"/>
          <w:spacing w:val="80"/>
          <w:sz w:val="14"/>
          <w:szCs w:val="14"/>
        </w:rPr>
        <w:t xml:space="preserve">WHITE MOVING COMPANY MULTISERVICES LLC  ·  MINNEAPOLIS  ·  ST. PAUL  ·  MINNESOTA</w:t>
      </w:r>
    </w:p>
    <w:sectPr>
      <w:headerReference w:type="default" r:id="rId7"/>
      <w:footerReference w:type="default" r:id="rId8"/>
      <w:pgSz w:w="12240" w:h="15840" w:orient="portrait"/>
      <w:pgMar w:top="1100" w:right="1300" w:bottom="1100" w:left="1300" w:header="600" w:footer="6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A7468"/>
        <w:sz w:val="16"/>
        <w:szCs w:val="16"/>
      </w:rPr>
      <w:t xml:space="preserve">Página </w:t>
    </w:r>
    <w:r>
      <w:rPr>
        <w:rFonts w:ascii="Calibri" w:cs="Calibri" w:eastAsia="Calibri" w:hAnsi="Calibri"/>
        <w:color w:val="7A746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A7468"/>
        <w:sz w:val="16"/>
        <w:szCs w:val="16"/>
      </w:rPr>
      <w:t xml:space="preserve"> de </w:t>
    </w:r>
    <w:r>
      <w:rPr>
        <w:rFonts w:ascii="Calibri" w:cs="Calibri" w:eastAsia="Calibri" w:hAnsi="Calibri"/>
        <w:color w:val="7A7468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Calibri" w:cs="Calibri" w:eastAsia="Calibri" w:hAnsi="Calibri"/>
        <w:i/>
        <w:iCs/>
        <w:color w:val="7A7468"/>
        <w:sz w:val="16"/>
        <w:szCs w:val="16"/>
      </w:rPr>
      <w:t xml:space="preserve">   ·   v3 Launch Edition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7E3DA" w:sz="4" w:space="4"/>
      </w:pBdr>
      <w:jc w:val="left"/>
    </w:pPr>
    <w:r>
      <w:rPr>
        <w:rFonts w:ascii="Consolas" w:cs="Consolas" w:eastAsia="Consolas" w:hAnsi="Consolas"/>
        <w:b/>
        <w:bCs/>
        <w:color w:val="0A0A0A"/>
        <w:spacing w:val="40"/>
        <w:sz w:val="16"/>
        <w:szCs w:val="16"/>
      </w:rPr>
      <w:t xml:space="preserve">WHITE MOVING CRM</w:t>
    </w:r>
    <w:r>
      <w:rPr>
        <w:rFonts w:ascii="Consolas" w:cs="Consolas" w:eastAsia="Consolas" w:hAnsi="Consolas"/>
        <w:color w:val="7A7468"/>
        <w:sz w:val="16"/>
        <w:szCs w:val="16"/>
      </w:rPr>
      <w:t xml:space="preserve">   ·   </w:t>
    </w:r>
    <w:r>
      <w:rPr>
        <w:rFonts w:ascii="Consolas" w:cs="Consolas" w:eastAsia="Consolas" w:hAnsi="Consolas"/>
        <w:color w:val="7A7468"/>
        <w:spacing w:val="40"/>
        <w:sz w:val="16"/>
        <w:szCs w:val="16"/>
      </w:rPr>
      <w:t xml:space="preserve">MANUAL DE USUARIO  ·  USER MANUAL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rFonts w:ascii="Calibri" w:cs="Calibri" w:eastAsia="Calibri" w:hAnsi="Calibri"/>
        <w:color w:val="B89A5E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  <w:rPr>
        <w:rFonts w:ascii="Calibri" w:cs="Calibri" w:eastAsia="Calibri" w:hAnsi="Calibri"/>
        <w:b/>
        <w:bCs/>
        <w:color w:val="B89A5E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Georgia" w:cs="Georgia" w:eastAsia="Georgia" w:hAnsi="Georgia"/>
      <w:b/>
      <w:bCs/>
      <w:color w:val="0A0A0A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0A0A0A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Calibri" w:cs="Calibri" w:eastAsia="Calibri" w:hAnsi="Calibri"/>
      <w:b/>
      <w:bCs/>
      <w:color w:val="8D73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Usuario CRM</dc:title>
  <dc:creator>White Moving Co.</dc:creator>
  <cp:lastModifiedBy>Un-named</cp:lastModifiedBy>
  <cp:revision>1</cp:revision>
  <dcterms:created xsi:type="dcterms:W3CDTF">2026-05-04T01:40:13.516Z</dcterms:created>
  <dcterms:modified xsi:type="dcterms:W3CDTF">2026-05-04T01:40:13.517Z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